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000000" w:themeColor="text1"/>
          <w:kern w:val="0"/>
          <w:sz w:val="32"/>
          <w:szCs w:val="32"/>
          <w14:textFill>
            <w14:solidFill>
              <w14:schemeClr w14:val="tx1"/>
            </w14:solidFill>
          </w14:textFill>
        </w:rPr>
      </w:pPr>
      <w:bookmarkStart w:id="0" w:name="_GoBack"/>
      <w:r>
        <w:rPr>
          <w:rFonts w:hint="eastAsia" w:ascii="仿宋" w:hAnsi="仿宋" w:eastAsia="仿宋" w:cs="宋体"/>
          <w:color w:val="000000" w:themeColor="text1"/>
          <w:kern w:val="0"/>
          <w:sz w:val="32"/>
          <w:szCs w:val="32"/>
          <w14:textFill>
            <w14:solidFill>
              <w14:schemeClr w14:val="tx1"/>
            </w14:solidFill>
          </w14:textFill>
        </w:rPr>
        <w:t>附件2：</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项目支出绩效自评报告</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r>
        <w:rPr>
          <w:rStyle w:val="18"/>
          <w:rFonts w:hint="eastAsia" w:ascii="楷体" w:hAnsi="楷体" w:eastAsia="楷体"/>
          <w:color w:val="000000" w:themeColor="text1"/>
          <w:spacing w:val="-4"/>
          <w:sz w:val="32"/>
          <w:szCs w:val="32"/>
          <w14:textFill>
            <w14:solidFill>
              <w14:schemeClr w14:val="tx1"/>
            </w14:solidFill>
          </w14:textFill>
        </w:rPr>
        <w:t>2023</w:t>
      </w:r>
      <w:r>
        <w:rPr>
          <w:rFonts w:hint="eastAsia" w:hAnsi="宋体" w:eastAsia="仿宋_GB2312" w:cs="宋体"/>
          <w:color w:val="000000" w:themeColor="text1"/>
          <w:kern w:val="0"/>
          <w:sz w:val="36"/>
          <w:szCs w:val="36"/>
          <w14:textFill>
            <w14:solidFill>
              <w14:schemeClr w14:val="tx1"/>
            </w14:solidFill>
          </w14:textFill>
        </w:rPr>
        <w:t xml:space="preserve">  年度）</w:t>
      </w: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rPr>
          <w:rFonts w:hAnsi="宋体" w:eastAsia="仿宋_GB2312" w:cs="宋体"/>
          <w:color w:val="000000" w:themeColor="text1"/>
          <w:kern w:val="0"/>
          <w:sz w:val="30"/>
          <w:szCs w:val="30"/>
          <w14:textFill>
            <w14:solidFill>
              <w14:schemeClr w14:val="tx1"/>
            </w14:solidFill>
          </w14:textFill>
        </w:rPr>
      </w:pPr>
    </w:p>
    <w:p>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p>
    <w:p>
      <w:pPr>
        <w:spacing w:line="700" w:lineRule="exact"/>
        <w:ind w:firstLine="900" w:firstLineChars="250"/>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项目名称：</w:t>
      </w:r>
      <w:r>
        <w:rPr>
          <w:rStyle w:val="18"/>
          <w:rFonts w:hint="eastAsia" w:ascii="楷体" w:hAnsi="楷体" w:eastAsia="楷体"/>
          <w:color w:val="000000" w:themeColor="text1"/>
          <w:spacing w:val="-4"/>
          <w:sz w:val="32"/>
          <w:szCs w:val="32"/>
          <w14:textFill>
            <w14:solidFill>
              <w14:schemeClr w14:val="tx1"/>
            </w14:solidFill>
          </w14:textFill>
        </w:rPr>
        <w:t>2023年中央支持地方公共文化服务体系建设专项经费</w:t>
      </w:r>
    </w:p>
    <w:p>
      <w:pPr>
        <w:spacing w:line="540" w:lineRule="exact"/>
        <w:ind w:firstLine="567"/>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w:t>
      </w:r>
      <w:r>
        <w:rPr>
          <w:rStyle w:val="18"/>
          <w:rFonts w:hint="eastAsia" w:ascii="楷体" w:hAnsi="楷体" w:eastAsia="楷体"/>
          <w:color w:val="000000" w:themeColor="text1"/>
          <w:spacing w:val="-4"/>
          <w:sz w:val="28"/>
          <w:szCs w:val="28"/>
          <w14:textFill>
            <w14:solidFill>
              <w14:schemeClr w14:val="tx1"/>
            </w14:solidFill>
          </w14:textFill>
        </w:rPr>
        <w:t>木垒县文化馆本级</w:t>
      </w:r>
    </w:p>
    <w:p>
      <w:pPr>
        <w:spacing w:line="540" w:lineRule="exact"/>
        <w:ind w:firstLine="900" w:firstLineChars="250"/>
        <w:rPr>
          <w:rFonts w:ascii="楷体" w:hAnsi="楷体" w:eastAsia="楷体"/>
          <w:b/>
          <w:bCs/>
          <w:color w:val="000000" w:themeColor="text1"/>
          <w:spacing w:val="-4"/>
          <w:sz w:val="28"/>
          <w:szCs w:val="28"/>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w:t>
      </w:r>
      <w:r>
        <w:rPr>
          <w:rStyle w:val="18"/>
          <w:rFonts w:hint="eastAsia" w:ascii="楷体" w:hAnsi="楷体" w:eastAsia="楷体"/>
          <w:color w:val="000000" w:themeColor="text1"/>
          <w:spacing w:val="-4"/>
          <w:sz w:val="28"/>
          <w:szCs w:val="28"/>
          <w14:textFill>
            <w14:solidFill>
              <w14:schemeClr w14:val="tx1"/>
            </w14:solidFill>
          </w14:textFill>
        </w:rPr>
        <w:t>木垒县文化馆本级</w:t>
      </w:r>
    </w:p>
    <w:p>
      <w:pPr>
        <w:spacing w:line="540" w:lineRule="exact"/>
        <w:ind w:firstLine="900" w:firstLineChars="250"/>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r>
        <w:rPr>
          <w:rStyle w:val="18"/>
          <w:rFonts w:hint="eastAsia" w:ascii="楷体" w:hAnsi="楷体" w:eastAsia="楷体"/>
          <w:color w:val="000000" w:themeColor="text1"/>
          <w:spacing w:val="-4"/>
          <w:sz w:val="32"/>
          <w:szCs w:val="32"/>
          <w14:textFill>
            <w14:solidFill>
              <w14:schemeClr w14:val="tx1"/>
            </w14:solidFill>
          </w14:textFill>
        </w:rPr>
        <w:t>王绍莉</w:t>
      </w:r>
    </w:p>
    <w:p>
      <w:pPr>
        <w:spacing w:line="540" w:lineRule="exact"/>
        <w:ind w:left="273" w:firstLine="567"/>
        <w:rPr>
          <w:rStyle w:val="18"/>
          <w:rFonts w:ascii="楷体" w:hAnsi="楷体" w:eastAsia="楷体"/>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w:t>
      </w:r>
      <w:r>
        <w:rPr>
          <w:rStyle w:val="18"/>
          <w:rFonts w:hint="eastAsia" w:ascii="楷体" w:hAnsi="楷体" w:eastAsia="楷体"/>
          <w:color w:val="000000" w:themeColor="text1"/>
          <w:spacing w:val="-4"/>
          <w:sz w:val="32"/>
          <w:szCs w:val="32"/>
          <w14:textFill>
            <w14:solidFill>
              <w14:schemeClr w14:val="tx1"/>
            </w14:solidFill>
          </w14:textFill>
        </w:rPr>
        <w:t>2024年04月02日</w:t>
      </w:r>
    </w:p>
    <w:p>
      <w:pPr>
        <w:spacing w:line="700" w:lineRule="exact"/>
        <w:ind w:firstLine="708" w:firstLineChars="236"/>
        <w:jc w:val="left"/>
        <w:rPr>
          <w:rFonts w:hAnsi="宋体" w:eastAsia="仿宋_GB2312" w:cs="宋体"/>
          <w:color w:val="000000" w:themeColor="text1"/>
          <w:kern w:val="0"/>
          <w:sz w:val="30"/>
          <w:szCs w:val="30"/>
          <w14:textFill>
            <w14:solidFill>
              <w14:schemeClr w14:val="tx1"/>
            </w14:solidFill>
          </w14:textFill>
        </w:rPr>
      </w:pPr>
    </w:p>
    <w:p>
      <w:pPr>
        <w:spacing w:line="540" w:lineRule="exact"/>
        <w:rPr>
          <w:rStyle w:val="18"/>
          <w:rFonts w:ascii="黑体" w:hAnsi="黑体" w:eastAsia="黑体"/>
          <w:b w:val="0"/>
          <w:color w:val="000000" w:themeColor="text1"/>
          <w:spacing w:val="-4"/>
          <w:sz w:val="32"/>
          <w:szCs w:val="32"/>
          <w14:textFill>
            <w14:solidFill>
              <w14:schemeClr w14:val="tx1"/>
            </w14:solidFill>
          </w14:textFill>
        </w:rPr>
      </w:pP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一、基本情况</w:t>
      </w:r>
    </w:p>
    <w:p>
      <w:pPr>
        <w:spacing w:line="540" w:lineRule="exact"/>
        <w:ind w:firstLine="567"/>
        <w:rPr>
          <w:rStyle w:val="18"/>
          <w:rFonts w:hint="default" w:ascii="楷体" w:hAnsi="楷体" w:eastAsia="楷体"/>
          <w:color w:val="000000" w:themeColor="text1"/>
          <w:spacing w:val="-4"/>
          <w:sz w:val="32"/>
          <w:szCs w:val="32"/>
          <w:lang w:val="en-US" w:eastAsia="zh-CN"/>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（一）项目概况</w:t>
      </w:r>
      <w:r>
        <w:rPr>
          <w:rStyle w:val="18"/>
          <w:rFonts w:hint="eastAsia" w:ascii="楷体" w:hAnsi="楷体" w:eastAsia="楷体"/>
          <w:color w:val="000000" w:themeColor="text1"/>
          <w:spacing w:val="-4"/>
          <w:sz w:val="32"/>
          <w:szCs w:val="32"/>
          <w:lang w:eastAsia="zh-CN"/>
          <w14:textFill>
            <w14:solidFill>
              <w14:schemeClr w14:val="tx1"/>
            </w14:solidFill>
          </w14:textFill>
        </w:rPr>
        <w:t>。</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1.项目背景</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中共中央办公厅、国务院办公厅印发《关于加快构建现代公共文化服务体系的意见》和文化旅游部《“十四五”公共文化服务体系建设规划》要求，开展培育扎根基层的群众文艺团队和文艺骨干，积极培育、发展群众文艺团队，打造在城乡群众中有广泛影响的品牌团队。对优秀群众文艺团队和基层文化带头人及非遗代表性传承人予以奖励补助。</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2.项目主要内容</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依据昌州财教【2022】74号文件要求，使用中央支持地方公共文化体系建设补助资金11万元，对木垒县内21名国家级、自治区级、自治州级非物质文化遗产名录项目代表性传承人传习活动进行补贴；使用中央支持地方公共文化体系建设补助资金30万元对达到相关要求并通过考核的31个优秀业余社团、6个文化大院、30名基层文化带头人进行奖补。</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3.项目实施情况</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2023年06月，由木垒县文化馆部门上报经核实后奖补人员及团队方案，由木垒县文旅局进行确认审核后交由木垒县委宣传部，由木垒县委宣传部审批后交木垒县文化馆财务室，由财务室人员复核后将补助资金发放至各补助人员银行卡及团队账户内，项目于2023年06月16日已执行完毕。</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4.资金投入和使用情况</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中央支持地方公共文化服务体系建设补助项目资金于2022年12月28日昌吉州财政局下发的昌州财教【2022】74号文件安排资金为41万元，为上级财政资金，实际到位率41万元，资金到位率100%，实际执行41万元，执行率100%，资金落实到位。为确保项目资金的安全有效使用、安全运行，提高资金的使用效率，我单位严格按照木垒县文化馆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（二）项目绩效目标</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1.总体目标</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依据昌州财教【2022】74号文件要求，1.计划使用中央支持地方公共文化体系建设补助资金11万元，对木垒县内国家级、自治区级、自治州级非物质文化遗产名录项目代表性传承人传习活动进行补贴；2.计划使用中央支持地方公共文化体系建设补助资金30万元对优秀业余社团、文化大院、基层文化带头人达到相关要求并通过考核的，进行奖补。</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2.阶段性目标</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2.1 2023年5月31日前完成对非遗传承人的培训考核工作，对考核通过的21名非遗传承人发放了补助，补助金额11万元；</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2.2 2023年6月30日前完成业余文艺团队的考核工作，对考核通过的31个业余社团、6个文化大院、30名基层文化带头进行了奖补，奖补金额40万元。</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二、绩效评价工作开展情况</w:t>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（一）绩效评价目的、对象和范围</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1.绩效评价目的</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通过对2023年度本级财政下拨的中央补助地方公共文化服务体系建设补助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2.绩效评价对象</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木垒县文化馆中央补助地方公共文化服务体系建设补助资金项目支出资金。</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3.绩效评价范围</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次评价主要对木垒县文化馆中央补助地方公共文化服务体系建设补助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（二）绩效评价原则、评价指标体系、评价方法、评价标准</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1.绩效评价原则</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（1）科学规范原则。坚持严格执行规定的程序，按照科学可行的要求，采用定量与定性分析相结合的方法。</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（2）公正公开原则。坚持符合真实、客观、公正的要求，依法公开并接受监督。</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（3）分级分类原则。坚持根据评价对象的特点分类组织实施。</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（4）绩效相关原则。应当针对具体支出及其产出绩效进行，评价结果应当清晰反映支出和产出绩效之间的紧密对应关系。</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3.评价方法</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本项目主要采用全面评价和重点评价相结合、现场评价和非现场评价相结合的方式，运用综合评分法进行评价。</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4.评价标准</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（三）绩效评价工作过程</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1.前期准备</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1.1 2024年1月15日，我单位在收到自评工作任务后及时组织了绩效评价工作小组，其中王绍莉为组长，主要负责工作安排，阿海哈提·瓦合提为副组长，主要负责报告的审核、指导，李锐敏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1.22024年1月15日，评价组通过前期调研确定绩效评价对象和范围，确定了评价的目的、方法以及评价的原则；</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1.3 2024年1月15日，根据项目的实施内容和特征制定了评价指标体系及评价标准以及评价实施方案，修正并确定所需资料清单，最终确定绩效评价工作方案；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2.组织实施</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2024年1月20日- 1月23日，评价工作进入实施阶段：</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2.1  评价组收集绩效评价相关数据资料，进行现场调研、座谈；</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3.分析评价：</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2024年2月24日- 3月3日，评价组按照绩效评价的原则和规范，对取得的资料进行审查核实，对采集的数据进行分析，按照绩效评价指标评分表逐项进行打分、分析，汇总各方评价结果，综合分析并形成评价结论。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4.撰写报告</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5.资料归档</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三、综合评价情况及评价结论</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木垒县文化馆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本项目通过制定的评价指标体系及评分标准，运用数据采集、问卷调查及访谈等方式，对本项目绩效进行客观评价，最终评分结果：总分为100分。</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（二）相关评分表</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各部分权重和绩效分值如下表所示：（详细评分表见附表）</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w:t>
      </w:r>
      <w:r>
        <w:rPr>
          <w:rStyle w:val="18"/>
          <w:rFonts w:hint="eastAsia" w:ascii="楷体" w:hAnsi="楷体" w:eastAsia="楷体"/>
          <w:b w:val="0"/>
          <w:bCs w:val="0"/>
          <w:color w:val="000000" w:themeColor="text1"/>
          <w:spacing w:val="-4"/>
          <w:sz w:val="32"/>
          <w:szCs w:val="32"/>
          <w14:textFill>
            <w14:solidFill>
              <w14:schemeClr w14:val="tx1"/>
            </w14:solidFill>
          </w14:textFill>
        </w:rPr>
        <w:tab/>
        <w:t>项目决策</w:t>
      </w:r>
      <w:r>
        <w:rPr>
          <w:rStyle w:val="18"/>
          <w:rFonts w:hint="eastAsia" w:ascii="楷体" w:hAnsi="楷体" w:eastAsia="楷体"/>
          <w:b w:val="0"/>
          <w:bCs w:val="0"/>
          <w:color w:val="000000" w:themeColor="text1"/>
          <w:spacing w:val="-4"/>
          <w:sz w:val="32"/>
          <w:szCs w:val="32"/>
          <w14:textFill>
            <w14:solidFill>
              <w14:schemeClr w14:val="tx1"/>
            </w14:solidFill>
          </w14:textFill>
        </w:rPr>
        <w:tab/>
        <w:t>项目管理</w:t>
      </w:r>
      <w:r>
        <w:rPr>
          <w:rStyle w:val="18"/>
          <w:rFonts w:hint="eastAsia" w:ascii="楷体" w:hAnsi="楷体" w:eastAsia="楷体"/>
          <w:b w:val="0"/>
          <w:bCs w:val="0"/>
          <w:color w:val="000000" w:themeColor="text1"/>
          <w:spacing w:val="-4"/>
          <w:sz w:val="32"/>
          <w:szCs w:val="32"/>
          <w14:textFill>
            <w14:solidFill>
              <w14:schemeClr w14:val="tx1"/>
            </w14:solidFill>
          </w14:textFill>
        </w:rPr>
        <w:tab/>
        <w:t>项目产出</w:t>
      </w:r>
      <w:r>
        <w:rPr>
          <w:rStyle w:val="18"/>
          <w:rFonts w:hint="eastAsia" w:ascii="楷体" w:hAnsi="楷体" w:eastAsia="楷体"/>
          <w:b w:val="0"/>
          <w:bCs w:val="0"/>
          <w:color w:val="000000" w:themeColor="text1"/>
          <w:spacing w:val="-4"/>
          <w:sz w:val="32"/>
          <w:szCs w:val="32"/>
          <w14:textFill>
            <w14:solidFill>
              <w14:schemeClr w14:val="tx1"/>
            </w14:solidFill>
          </w14:textFill>
        </w:rPr>
        <w:tab/>
        <w:t>项目效益</w:t>
      </w:r>
      <w:r>
        <w:rPr>
          <w:rStyle w:val="18"/>
          <w:rFonts w:hint="eastAsia" w:ascii="楷体" w:hAnsi="楷体" w:eastAsia="楷体"/>
          <w:b w:val="0"/>
          <w:bCs w:val="0"/>
          <w:color w:val="000000" w:themeColor="text1"/>
          <w:spacing w:val="-4"/>
          <w:sz w:val="32"/>
          <w:szCs w:val="32"/>
          <w14:textFill>
            <w14:solidFill>
              <w14:schemeClr w14:val="tx1"/>
            </w14:solidFill>
          </w14:textFill>
        </w:rPr>
        <w:tab/>
        <w:t>合计分值</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权重</w:t>
      </w:r>
      <w:r>
        <w:rPr>
          <w:rStyle w:val="18"/>
          <w:rFonts w:hint="eastAsia" w:ascii="楷体" w:hAnsi="楷体" w:eastAsia="楷体"/>
          <w:b w:val="0"/>
          <w:bCs w:val="0"/>
          <w:color w:val="000000" w:themeColor="text1"/>
          <w:spacing w:val="-4"/>
          <w:sz w:val="32"/>
          <w:szCs w:val="32"/>
          <w14:textFill>
            <w14:solidFill>
              <w14:schemeClr w14:val="tx1"/>
            </w14:solidFill>
          </w14:textFill>
        </w:rPr>
        <w:tab/>
        <w:t>15</w:t>
      </w:r>
      <w:r>
        <w:rPr>
          <w:rStyle w:val="18"/>
          <w:rFonts w:hint="eastAsia" w:ascii="楷体" w:hAnsi="楷体" w:eastAsia="楷体"/>
          <w:b w:val="0"/>
          <w:bCs w:val="0"/>
          <w:color w:val="000000" w:themeColor="text1"/>
          <w:spacing w:val="-4"/>
          <w:sz w:val="32"/>
          <w:szCs w:val="32"/>
          <w14:textFill>
            <w14:solidFill>
              <w14:schemeClr w14:val="tx1"/>
            </w14:solidFill>
          </w14:textFill>
        </w:rPr>
        <w:tab/>
        <w:t>15</w:t>
      </w:r>
      <w:r>
        <w:rPr>
          <w:rStyle w:val="18"/>
          <w:rFonts w:hint="eastAsia" w:ascii="楷体" w:hAnsi="楷体" w:eastAsia="楷体"/>
          <w:b w:val="0"/>
          <w:bCs w:val="0"/>
          <w:color w:val="000000" w:themeColor="text1"/>
          <w:spacing w:val="-4"/>
          <w:sz w:val="32"/>
          <w:szCs w:val="32"/>
          <w14:textFill>
            <w14:solidFill>
              <w14:schemeClr w14:val="tx1"/>
            </w14:solidFill>
          </w14:textFill>
        </w:rPr>
        <w:tab/>
        <w:t>50</w:t>
      </w:r>
      <w:r>
        <w:rPr>
          <w:rStyle w:val="18"/>
          <w:rFonts w:hint="eastAsia" w:ascii="楷体" w:hAnsi="楷体" w:eastAsia="楷体"/>
          <w:b w:val="0"/>
          <w:bCs w:val="0"/>
          <w:color w:val="000000" w:themeColor="text1"/>
          <w:spacing w:val="-4"/>
          <w:sz w:val="32"/>
          <w:szCs w:val="32"/>
          <w14:textFill>
            <w14:solidFill>
              <w14:schemeClr w14:val="tx1"/>
            </w14:solidFill>
          </w14:textFill>
        </w:rPr>
        <w:tab/>
        <w:t>20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分值</w:t>
      </w:r>
      <w:r>
        <w:rPr>
          <w:rStyle w:val="18"/>
          <w:rFonts w:hint="eastAsia" w:ascii="楷体" w:hAnsi="楷体" w:eastAsia="楷体"/>
          <w:b w:val="0"/>
          <w:bCs w:val="0"/>
          <w:color w:val="000000" w:themeColor="text1"/>
          <w:spacing w:val="-4"/>
          <w:sz w:val="32"/>
          <w:szCs w:val="32"/>
          <w14:textFill>
            <w14:solidFill>
              <w14:schemeClr w14:val="tx1"/>
            </w14:solidFill>
          </w14:textFill>
        </w:rPr>
        <w:tab/>
        <w:t>15</w:t>
      </w:r>
      <w:r>
        <w:rPr>
          <w:rStyle w:val="18"/>
          <w:rFonts w:hint="eastAsia" w:ascii="楷体" w:hAnsi="楷体" w:eastAsia="楷体"/>
          <w:b w:val="0"/>
          <w:bCs w:val="0"/>
          <w:color w:val="000000" w:themeColor="text1"/>
          <w:spacing w:val="-4"/>
          <w:sz w:val="32"/>
          <w:szCs w:val="32"/>
          <w14:textFill>
            <w14:solidFill>
              <w14:schemeClr w14:val="tx1"/>
            </w14:solidFill>
          </w14:textFill>
        </w:rPr>
        <w:tab/>
        <w:t>15</w:t>
      </w:r>
      <w:r>
        <w:rPr>
          <w:rStyle w:val="18"/>
          <w:rFonts w:hint="eastAsia" w:ascii="楷体" w:hAnsi="楷体" w:eastAsia="楷体"/>
          <w:b w:val="0"/>
          <w:bCs w:val="0"/>
          <w:color w:val="000000" w:themeColor="text1"/>
          <w:spacing w:val="-4"/>
          <w:sz w:val="32"/>
          <w:szCs w:val="32"/>
          <w14:textFill>
            <w14:solidFill>
              <w14:schemeClr w14:val="tx1"/>
            </w14:solidFill>
          </w14:textFill>
        </w:rPr>
        <w:tab/>
        <w:t>50</w:t>
      </w:r>
      <w:r>
        <w:rPr>
          <w:rStyle w:val="18"/>
          <w:rFonts w:hint="eastAsia" w:ascii="楷体" w:hAnsi="楷体" w:eastAsia="楷体"/>
          <w:b w:val="0"/>
          <w:bCs w:val="0"/>
          <w:color w:val="000000" w:themeColor="text1"/>
          <w:spacing w:val="-4"/>
          <w:sz w:val="32"/>
          <w:szCs w:val="32"/>
          <w14:textFill>
            <w14:solidFill>
              <w14:schemeClr w14:val="tx1"/>
            </w14:solidFill>
          </w14:textFill>
        </w:rPr>
        <w:tab/>
        <w:t>20</w:t>
      </w:r>
      <w:r>
        <w:rPr>
          <w:rStyle w:val="18"/>
          <w:rFonts w:hint="eastAsia" w:ascii="楷体" w:hAnsi="楷体" w:eastAsia="楷体"/>
          <w:b w:val="0"/>
          <w:bCs w:val="0"/>
          <w:color w:val="000000" w:themeColor="text1"/>
          <w:spacing w:val="-4"/>
          <w:sz w:val="32"/>
          <w:szCs w:val="32"/>
          <w14:textFill>
            <w14:solidFill>
              <w14:schemeClr w14:val="tx1"/>
            </w14:solidFill>
          </w14:textFill>
        </w:rPr>
        <w:tab/>
        <w:t>100</w:t>
      </w:r>
    </w:p>
    <w:p>
      <w:pPr>
        <w:spacing w:line="540" w:lineRule="exact"/>
        <w:ind w:firstLine="640"/>
        <w:rPr>
          <w:rStyle w:val="18"/>
          <w:rFonts w:ascii="黑体" w:hAnsi="黑体" w:eastAsia="黑体"/>
          <w:color w:val="000000" w:themeColor="text1"/>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四、绩效评价指标分析</w:t>
      </w:r>
      <w:r>
        <w:rPr>
          <w:rStyle w:val="18"/>
          <w:rFonts w:hint="eastAsia" w:ascii="黑体" w:hAnsi="黑体" w:eastAsia="黑体"/>
          <w:color w:val="000000" w:themeColor="text1"/>
          <w14:textFill>
            <w14:solidFill>
              <w14:schemeClr w14:val="tx1"/>
            </w14:solidFill>
          </w14:textFill>
        </w:rPr>
        <w:t xml:space="preserve"> </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w:t>
      </w:r>
      <w:r>
        <w:rPr>
          <w:rStyle w:val="18"/>
          <w:rFonts w:hint="eastAsia" w:ascii="楷体" w:hAnsi="楷体" w:eastAsia="楷体"/>
          <w:color w:val="000000" w:themeColor="text1"/>
          <w:spacing w:val="-4"/>
          <w:sz w:val="32"/>
          <w:szCs w:val="32"/>
          <w14:textFill>
            <w14:solidFill>
              <w14:schemeClr w14:val="tx1"/>
            </w14:solidFill>
          </w14:textFill>
        </w:rPr>
        <w:t>项目决策情况</w:t>
      </w:r>
    </w:p>
    <w:p>
      <w:pPr>
        <w:tabs>
          <w:tab w:val="center" w:pos="4295"/>
        </w:tabs>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1.立项依据充分性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（1）项目立项依据《关于提前下达2023年中央补助地方公共文化服务体系建设补助资金预算的通知（昌州财教【2022】74号）》文件。</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立项符合行业发展规划和政策要求；项目立项与部门职责范围相符，属于部门履职所需；项目属于公共财政支持范围，符合中央、地方事权支出责任划分原则；项目未与相关部门同类项目或部门内部相关项目重复。</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（3）中央补助地方公共文化体系建设补助资金项目符合国家法律法规、国民经济发展规划和相关政策。</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2.立项程序规范性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①项目立项程序：提报项目建议书、申请立项过程等均按照立项程序的相关规定进行；</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②审批文件、材料：本项目审批文件有：《项目申报方案批复》、《项目报告书批复》，审批文件及材料齐全；</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③项目事前工作：本项目已经过必要的风险评估、绩效评估、集体决策。</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3.绩效目标合理性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木垒县文化馆中央补助地方公共文化体系建设补助资金项目设立了项目绩效目标，与文化馆免费开放和非物质文化遗产保护具有相关性，项目的预期产出效益和效果也均能符合正常的业绩水平，并且与预算确定的项目投资额或资金量相匹配。</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4.绩效指标明确性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木垒县文化馆中央补助地方公共文化体系建设补助资金项目将项目绩效目标细化分解为具体的绩效指标，一级指标共3条，二级指标共6条，三级指标共11条，其中量化指标条数共11条，所有绩效指标均通过清晰、可衡量的指标值予以体现，并且做到了与项目目标任务数或计划数相对应。</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5.预算编制科学性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本项目建设内容及工程量严格按照《建设工程工程量清单计价规范》（GB50500-2013）规定计算，项目预算编制根据项目建设内容进行计算，预算数经过科学论证及专家论证确定，预算内容与项目内容无偏差，预算额度测算依据充分，项目投资额与工作任务匹配性100%，不存在偏差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6.资金分配合理性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本项目预算资金分配依据《关于提前下达2023年中央补助地方公共文化服务体系建设补助资金预算的通知》（昌州财教【2022】74号），项目资金分配额度无偏低或偏高情况，分配额度合理。项目单位为木垒县文化馆位于木垒县，资金分配与单位实际相适应。</w:t>
      </w:r>
      <w:r>
        <w:rPr>
          <w:rStyle w:val="18"/>
          <w:rFonts w:hint="eastAsia" w:ascii="楷体" w:hAnsi="楷体" w:eastAsia="楷体"/>
          <w:b w:val="0"/>
          <w:bCs w:val="0"/>
          <w:color w:val="000000" w:themeColor="text1"/>
          <w:spacing w:val="-4"/>
          <w:sz w:val="32"/>
          <w:szCs w:val="32"/>
          <w14:textFill>
            <w14:solidFill>
              <w14:schemeClr w14:val="tx1"/>
            </w14:solidFill>
          </w14:textFill>
        </w:rPr>
        <w:tab/>
      </w:r>
    </w:p>
    <w:p>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w:t>
      </w:r>
      <w:r>
        <w:rPr>
          <w:rStyle w:val="18"/>
          <w:rFonts w:hint="eastAsia" w:ascii="楷体" w:hAnsi="楷体" w:eastAsia="楷体"/>
          <w:color w:val="000000" w:themeColor="text1"/>
          <w:spacing w:val="-4"/>
          <w:sz w:val="32"/>
          <w:szCs w:val="32"/>
          <w14:textFill>
            <w14:solidFill>
              <w14:schemeClr w14:val="tx1"/>
            </w14:solidFill>
          </w14:textFill>
        </w:rPr>
        <w:t>项目过程情况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实际到位资金41万元，预算资金41万元，资金到位率100%。</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年初预算数41万元，全年预算数41万元，全年执行数41万元，预算执行率为100%。</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3.资金使用合规性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3.1 资金使用符合、财务管理制度以及有关专项资金管理办法的规定；</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3.2 资金的拨付严格按照木垒县文化馆单位资金拨付审批程序进行：由文行科提交项目资金申请到木垒县财政局领导，经审批后提交到国库科。项目资金拨付手续齐全，资金拨付手续有：项目资金申请单、资金支付申请单。</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3.3 本项目资金合同规定的用途为：非物质文化遗产代表性传承人、群众业余文艺团队、基层文化带头的补贴及奖补。符合项目预算批复及合同规定的用途；</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3.4 项目资金截至2023年12月31日已拨付至100%，过程不存在截留、挤占、挪用、虚列支出等情况。</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4.管理制度健全性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4.1 本项目已制定相应的财务和业务管理制度，管理制度健全；</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4.2 本项目财务及业务管理制度符合《中华人民共和国政府采购法》、《中华人民共和国会计法》等相关法律法规，财务和业务管理制度已经过党工委审批通过，确保了各项制度的合法合规性及完整性。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5.制度执行有效性</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5.1 项目的审批、招标、建设、验收过程均遵守相关法律法规和相关管理规定；</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5.2 本项目无调整情况；</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5.3 项目合同书、验收报告、技术鉴定等资料齐全并已及时归档；</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5.4 项目实施的人员条件、场地设备、信息支撑等均已落实到位。</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w:t>
      </w:r>
      <w:r>
        <w:rPr>
          <w:rStyle w:val="18"/>
          <w:rFonts w:hint="eastAsia" w:ascii="楷体" w:hAnsi="楷体" w:eastAsia="楷体"/>
          <w:color w:val="000000" w:themeColor="text1"/>
          <w:spacing w:val="-4"/>
          <w:sz w:val="32"/>
          <w:szCs w:val="32"/>
          <w14:textFill>
            <w14:solidFill>
              <w14:schemeClr w14:val="tx1"/>
            </w14:solidFill>
          </w14:textFill>
        </w:rPr>
        <w:t>项目产出情况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我单位中央补助地方公共文化体系建设补助资金项目截止到2023年12月31日，已完成100%；其中：</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1.项目完成数量</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指标1：补助非遗代表性传承人人数，指标值：≥21人，实际完成值21人，指标完成率100 %；</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指标2：奖励业余文艺团队个数，指标值：=31个，实际完成值31个，指标完成率100 %。</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指标3：奖励文化大院个数，指标值：=6个，实际完成值6个，指标完成率100 %。</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指标3：奖励基层文化带头人人数，指标值：=30个，实际完成值30个，指标完成率100 %。</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2.项目完成质量：</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指标1：奖励对象考核通过率，指标值：≥95%，实际完成值≥95%，指标完成率100 %；</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指标2：补助资金发放率，指标值：=100%，实际完成值100%，指标完成率100 %。</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3.项目完成时效</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指标1：按计划完成时间，指标值：≤12个月，实际完成值12个月，指标完成率100%；</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4.项目完成成本</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指标1：项目预算控制率，指标值：≤100% ，实际完成值100%，指标完成率100%</w:t>
      </w:r>
    </w:p>
    <w:p>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（四）</w:t>
      </w:r>
      <w:r>
        <w:rPr>
          <w:rStyle w:val="18"/>
          <w:rFonts w:hint="eastAsia" w:ascii="楷体" w:hAnsi="楷体" w:eastAsia="楷体"/>
          <w:color w:val="000000" w:themeColor="text1"/>
          <w:spacing w:val="-4"/>
          <w:sz w:val="32"/>
          <w:szCs w:val="32"/>
          <w14:textFill>
            <w14:solidFill>
              <w14:schemeClr w14:val="tx1"/>
            </w14:solidFill>
          </w14:textFill>
        </w:rPr>
        <w:t>项目效益情况</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我单位中央补助地方公共文化体系建设补助资金项目截止到2023年12月31日，已完成100%；其中：</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1.项目实施的经济效益分析：</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无。</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2.项目实施的社会效益分析</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指标1：非遗传承人群增长率，指标值：≥2% ，实际完成值2%，指标完成率100%。</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指标2：群众文艺团队扶持率，指标值：≥90% ，实际完成值90%，指标完成率100%。</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3.项目实施的生态效益分析</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无。</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4.项目实施的可持续影响分析</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无。</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（五）满意度指标完成情况分析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指标1：基层群众对公共文化服务体系建设的满意度，指标值：≥95%，实际完成值95%，指标完成率100%。</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p>
    <w:p>
      <w:pPr>
        <w:numPr>
          <w:ilvl w:val="0"/>
          <w:numId w:val="1"/>
        </w:numPr>
        <w:spacing w:line="540" w:lineRule="exact"/>
        <w:ind w:firstLine="640"/>
        <w:rPr>
          <w:rStyle w:val="18"/>
          <w:rFonts w:hint="eastAsia"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lang w:val="en-US" w:eastAsia="zh-CN"/>
          <w14:textFill>
            <w14:solidFill>
              <w14:schemeClr w14:val="tx1"/>
            </w14:solidFill>
          </w14:textFill>
        </w:rPr>
        <w:t>预算执行进度与绩效指标偏差</w:t>
      </w:r>
    </w:p>
    <w:p>
      <w:pPr>
        <w:spacing w:line="540" w:lineRule="exact"/>
        <w:ind w:firstLine="567"/>
        <w:rPr>
          <w:rStyle w:val="18"/>
          <w:rFonts w:hint="default" w:ascii="黑体" w:hAnsi="黑体" w:eastAsia="黑体"/>
          <w:b w:val="0"/>
          <w:color w:val="000000" w:themeColor="text1"/>
          <w:spacing w:val="-4"/>
          <w:sz w:val="32"/>
          <w:szCs w:val="32"/>
          <w:lang w:val="en-US" w:eastAsia="zh-CN"/>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（一）预算执行进度</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根据中央补助地方公共文化体系建设补助资金项目工作方案实施进度，木垒哈萨克自治县文化馆已于2023年5月12日将11万元拨付进入非遗传承人银行卡中，2023年6月16日将30万元拨付进入业余文艺团队团队、文化大院、基层文化带头人的账户和银行卡中。预算执行数41万元，执行率100%。</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（二）绩效指标偏差</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本项目绩效指标无偏差情况。</w:t>
      </w:r>
    </w:p>
    <w:p>
      <w:pPr>
        <w:numPr>
          <w:ilvl w:val="0"/>
          <w:numId w:val="1"/>
        </w:numPr>
        <w:spacing w:line="540" w:lineRule="exact"/>
        <w:ind w:firstLine="640"/>
        <w:rPr>
          <w:rStyle w:val="18"/>
          <w:rFonts w:hint="eastAsia"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主要经验及做法、存在的问题及原因分析</w:t>
      </w:r>
    </w:p>
    <w:p>
      <w:pPr>
        <w:spacing w:line="540" w:lineRule="exact"/>
        <w:ind w:firstLine="567"/>
        <w:rPr>
          <w:rFonts w:ascii="仿宋_GB2312" w:eastAsia="仿宋_GB2312"/>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（一）主要经验及做法</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（1）是领导高度重视。专项资金预算下拨后，主要领导和分管领导高度重视，落实责任分工，确保项目顺利进行。</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1.存在的问题：</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（1）非遗传承人、基层文化带头人存在年龄偏大，发挥作用力不从心的情况。</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（2）业余文艺团队存在僵尸团队现象，名存实亡，不能有效开展活动。</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（3）文化馆缺少非遗保护工作专业人员，非遗保护工作人员综合素质急需提高。</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2.改进措施：</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（1）出台相关政策激励新人去学习、去参与、去保护、去传承，从而避免出现非物质文化遗产传承人、基层文化带头人人才断层现象。</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（2）对我县业余文艺团队进行全面普查统计，不能发挥作用的团队予以清理。</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（3）我单位将根据实际情况向上级主管单位申请配备的专业技术人员和保护工作人员。</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lang w:val="en-US" w:eastAsia="zh-CN"/>
          <w14:textFill>
            <w14:solidFill>
              <w14:schemeClr w14:val="tx1"/>
            </w14:solidFill>
          </w14:textFill>
        </w:rPr>
        <w:t>七</w:t>
      </w:r>
      <w:r>
        <w:rPr>
          <w:rStyle w:val="18"/>
          <w:rFonts w:hint="eastAsia" w:ascii="黑体" w:hAnsi="黑体" w:eastAsia="黑体"/>
          <w:b w:val="0"/>
          <w:color w:val="000000" w:themeColor="text1"/>
          <w:spacing w:val="-4"/>
          <w:sz w:val="32"/>
          <w:szCs w:val="32"/>
          <w14:textFill>
            <w14:solidFill>
              <w14:schemeClr w14:val="tx1"/>
            </w14:solidFill>
          </w14:textFill>
        </w:rPr>
        <w:t>、有关建议</w:t>
      </w:r>
    </w:p>
    <w:p>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lang w:val="en-US" w:eastAsia="zh-CN"/>
          <w14:textFill>
            <w14:solidFill>
              <w14:schemeClr w14:val="tx1"/>
            </w14:solidFill>
          </w14:textFill>
        </w:rPr>
        <w:t>八</w:t>
      </w:r>
      <w:r>
        <w:rPr>
          <w:rStyle w:val="18"/>
          <w:rFonts w:hint="eastAsia" w:ascii="黑体" w:hAnsi="黑体" w:eastAsia="黑体"/>
          <w:b w:val="0"/>
          <w:color w:val="000000" w:themeColor="text1"/>
          <w:spacing w:val="-4"/>
          <w:sz w:val="32"/>
          <w:szCs w:val="32"/>
          <w14:textFill>
            <w14:solidFill>
              <w14:schemeClr w14:val="tx1"/>
            </w14:solidFill>
          </w14:textFill>
        </w:rPr>
        <w:t>、其他需要说明的问题</w:t>
      </w:r>
    </w:p>
    <w:p>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（一）本项目部分问题产生的效果无法准确在短期内衡量，因此很难认定项目产生的全部效果。通过指标来反映绩效。指标的科学性和全面性需要不断地完善和研究。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bookmarkEnd w:id="0"/>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5M2I0NWRhNDM2MWVkM2Q3YzY0OGU0YTRiMGUzYTA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97164DC"/>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autoRedefine/>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autoRedefine/>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autoRedefine/>
    <w:qFormat/>
    <w:uiPriority w:val="9"/>
    <w:rPr>
      <w:rFonts w:asciiTheme="majorHAnsi" w:hAnsiTheme="majorHAnsi" w:eastAsiaTheme="majorEastAsia"/>
      <w:b/>
      <w:bCs/>
      <w:kern w:val="32"/>
      <w:sz w:val="32"/>
      <w:szCs w:val="32"/>
    </w:rPr>
  </w:style>
  <w:style w:type="character" w:customStyle="1" w:styleId="21">
    <w:name w:val="标题 2 Char"/>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autoRedefine/>
    <w:semiHidden/>
    <w:qFormat/>
    <w:uiPriority w:val="9"/>
    <w:rPr>
      <w:b/>
      <w:bCs/>
      <w:sz w:val="28"/>
      <w:szCs w:val="28"/>
    </w:rPr>
  </w:style>
  <w:style w:type="character" w:customStyle="1" w:styleId="24">
    <w:name w:val="标题 5 Char"/>
    <w:basedOn w:val="17"/>
    <w:link w:val="6"/>
    <w:autoRedefine/>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autoRedefine/>
    <w:semiHidden/>
    <w:qFormat/>
    <w:uiPriority w:val="9"/>
    <w:rPr>
      <w:i/>
      <w:iCs/>
      <w:sz w:val="24"/>
      <w:szCs w:val="24"/>
    </w:rPr>
  </w:style>
  <w:style w:type="character" w:customStyle="1" w:styleId="28">
    <w:name w:val="标题 9 Char"/>
    <w:basedOn w:val="17"/>
    <w:link w:val="10"/>
    <w:autoRedefine/>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杜里里oppo</cp:lastModifiedBy>
  <cp:lastPrinted>2018-12-31T10:56:00Z</cp:lastPrinted>
  <dcterms:modified xsi:type="dcterms:W3CDTF">2024-08-17T20:08:23Z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C734C92AAAF24344A0E4232D8EB3359B</vt:lpwstr>
  </property>
</Properties>
</file>